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0B" w:rsidRDefault="00874D0B" w:rsidP="00874D0B">
      <w:pPr>
        <w:jc w:val="center"/>
        <w:rPr>
          <w:b/>
          <w:sz w:val="28"/>
          <w:szCs w:val="28"/>
          <w:lang w:eastAsia="ru-RU"/>
        </w:rPr>
      </w:pPr>
      <w:r w:rsidRPr="007D7C46">
        <w:rPr>
          <w:b/>
          <w:sz w:val="28"/>
          <w:szCs w:val="28"/>
          <w:lang w:eastAsia="ru-RU"/>
        </w:rPr>
        <w:t>Схемы сертификации работ (услуг) в Системе ИНТЕРГАЗСЕРТ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3588"/>
        <w:gridCol w:w="3588"/>
        <w:gridCol w:w="3590"/>
      </w:tblGrid>
      <w:tr w:rsidR="00874D0B" w:rsidTr="007C3DE2">
        <w:tc>
          <w:tcPr>
            <w:tcW w:w="5000" w:type="pct"/>
            <w:gridSpan w:val="4"/>
            <w:shd w:val="clear" w:color="auto" w:fill="A6A6A6" w:themeFill="background1" w:themeFillShade="A6"/>
          </w:tcPr>
          <w:p w:rsidR="00874D0B" w:rsidRPr="00904B63" w:rsidRDefault="00874D0B" w:rsidP="007C3DE2">
            <w:pPr>
              <w:jc w:val="center"/>
              <w:rPr>
                <w:b/>
              </w:rPr>
            </w:pPr>
            <w:r w:rsidRPr="00904B63">
              <w:rPr>
                <w:b/>
              </w:rPr>
              <w:t>Схема 4</w:t>
            </w:r>
            <w:r w:rsidRPr="00383E03">
              <w:t xml:space="preserve"> на соответствие </w:t>
            </w:r>
            <w:r w:rsidRPr="002E115D">
              <w:t>требованиям ПАО «Газпром»</w:t>
            </w:r>
            <w:r>
              <w:t xml:space="preserve"> (СТО Газпром, Р Газпром), ГОСТ Р, ГОСТ и т.д.</w:t>
            </w:r>
          </w:p>
        </w:tc>
      </w:tr>
      <w:tr w:rsidR="00874D0B" w:rsidTr="007C3DE2">
        <w:tc>
          <w:tcPr>
            <w:tcW w:w="1303" w:type="pct"/>
            <w:shd w:val="clear" w:color="auto" w:fill="A6A6A6" w:themeFill="background1" w:themeFillShade="A6"/>
          </w:tcPr>
          <w:p w:rsidR="00874D0B" w:rsidRPr="00010F66" w:rsidRDefault="00874D0B" w:rsidP="007C3DE2">
            <w:pPr>
              <w:jc w:val="center"/>
              <w:rPr>
                <w:b/>
              </w:rPr>
            </w:pPr>
            <w:r w:rsidRPr="00010F66">
              <w:rPr>
                <w:b/>
              </w:rPr>
              <w:t>a</w:t>
            </w:r>
          </w:p>
        </w:tc>
        <w:tc>
          <w:tcPr>
            <w:tcW w:w="1232" w:type="pct"/>
            <w:shd w:val="clear" w:color="auto" w:fill="A6A6A6" w:themeFill="background1" w:themeFillShade="A6"/>
          </w:tcPr>
          <w:p w:rsidR="00874D0B" w:rsidRPr="00010F66" w:rsidRDefault="00874D0B" w:rsidP="007C3DE2">
            <w:pPr>
              <w:jc w:val="center"/>
              <w:rPr>
                <w:b/>
                <w:lang w:val="en-US"/>
              </w:rPr>
            </w:pPr>
            <w:r w:rsidRPr="00010F66">
              <w:rPr>
                <w:b/>
                <w:lang w:val="en-US"/>
              </w:rPr>
              <w:t>b</w:t>
            </w:r>
          </w:p>
        </w:tc>
        <w:tc>
          <w:tcPr>
            <w:tcW w:w="1232" w:type="pct"/>
            <w:shd w:val="clear" w:color="auto" w:fill="A6A6A6" w:themeFill="background1" w:themeFillShade="A6"/>
          </w:tcPr>
          <w:p w:rsidR="00874D0B" w:rsidRPr="00010F66" w:rsidRDefault="00874D0B" w:rsidP="007C3DE2">
            <w:pPr>
              <w:jc w:val="center"/>
              <w:rPr>
                <w:b/>
                <w:lang w:val="en-US"/>
              </w:rPr>
            </w:pPr>
            <w:r w:rsidRPr="00010F66">
              <w:rPr>
                <w:b/>
                <w:lang w:val="en-US"/>
              </w:rPr>
              <w:t>c</w:t>
            </w:r>
          </w:p>
        </w:tc>
        <w:tc>
          <w:tcPr>
            <w:tcW w:w="1233" w:type="pct"/>
            <w:shd w:val="clear" w:color="auto" w:fill="A6A6A6" w:themeFill="background1" w:themeFillShade="A6"/>
          </w:tcPr>
          <w:p w:rsidR="00874D0B" w:rsidRPr="00010F66" w:rsidRDefault="00874D0B" w:rsidP="007C3DE2">
            <w:pPr>
              <w:jc w:val="center"/>
              <w:rPr>
                <w:b/>
                <w:lang w:val="en-US"/>
              </w:rPr>
            </w:pPr>
            <w:r w:rsidRPr="00010F66">
              <w:rPr>
                <w:b/>
                <w:lang w:val="en-US"/>
              </w:rPr>
              <w:t>d</w:t>
            </w:r>
          </w:p>
        </w:tc>
      </w:tr>
      <w:tr w:rsidR="00874D0B" w:rsidTr="007C3DE2">
        <w:tc>
          <w:tcPr>
            <w:tcW w:w="1303" w:type="pct"/>
            <w:shd w:val="clear" w:color="auto" w:fill="C5E0B3" w:themeFill="accent6" w:themeFillTint="66"/>
          </w:tcPr>
          <w:p w:rsidR="00874D0B" w:rsidRDefault="00874D0B" w:rsidP="007C3DE2">
            <w:r>
              <w:t>Наличие свидетельства об оценке деловой репутации, выданного в Системе ИНТЕРГАЗСЕРТ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874D0B" w:rsidRDefault="00874D0B" w:rsidP="007C3DE2">
            <w:pPr>
              <w:jc w:val="center"/>
            </w:pPr>
          </w:p>
        </w:tc>
        <w:tc>
          <w:tcPr>
            <w:tcW w:w="1232" w:type="pct"/>
            <w:shd w:val="clear" w:color="auto" w:fill="D9D9D9" w:themeFill="background1" w:themeFillShade="D9"/>
          </w:tcPr>
          <w:p w:rsidR="00874D0B" w:rsidRPr="00171453" w:rsidRDefault="00874D0B" w:rsidP="007C3DE2"/>
        </w:tc>
        <w:tc>
          <w:tcPr>
            <w:tcW w:w="1233" w:type="pct"/>
            <w:shd w:val="clear" w:color="auto" w:fill="D9D9D9" w:themeFill="background1" w:themeFillShade="D9"/>
          </w:tcPr>
          <w:p w:rsidR="00874D0B" w:rsidRPr="00171453" w:rsidRDefault="00874D0B" w:rsidP="007C3DE2"/>
        </w:tc>
      </w:tr>
      <w:tr w:rsidR="00874D0B" w:rsidTr="007C3DE2">
        <w:tc>
          <w:tcPr>
            <w:tcW w:w="1303" w:type="pct"/>
            <w:shd w:val="clear" w:color="auto" w:fill="C5E0B3" w:themeFill="accent6" w:themeFillTint="66"/>
          </w:tcPr>
          <w:p w:rsidR="00874D0B" w:rsidRDefault="00874D0B" w:rsidP="007C3DE2">
            <w:r>
              <w:t xml:space="preserve">Наличие сертификата СМК </w:t>
            </w:r>
            <w:r w:rsidRPr="008577C4">
              <w:t>требованиям</w:t>
            </w:r>
            <w:r>
              <w:t xml:space="preserve"> </w:t>
            </w:r>
            <w:r w:rsidRPr="008577C4">
              <w:t>СТО Газпром 9001</w:t>
            </w:r>
            <w:r>
              <w:t>, выданного в Системе ИНТЕРГАЗСЕРТ</w:t>
            </w:r>
          </w:p>
        </w:tc>
        <w:tc>
          <w:tcPr>
            <w:tcW w:w="1232" w:type="pct"/>
            <w:shd w:val="clear" w:color="auto" w:fill="BDD6EE" w:themeFill="accent1" w:themeFillTint="66"/>
          </w:tcPr>
          <w:p w:rsidR="00874D0B" w:rsidRPr="002E115D" w:rsidRDefault="00874D0B" w:rsidP="007C3DE2">
            <w:r>
              <w:t xml:space="preserve">Наличие сертификата СМК </w:t>
            </w:r>
            <w:r w:rsidRPr="008577C4">
              <w:t>требованиям</w:t>
            </w:r>
            <w:r>
              <w:t xml:space="preserve"> </w:t>
            </w:r>
            <w:r w:rsidRPr="008577C4">
              <w:t>СТО Газпром 9001</w:t>
            </w:r>
            <w:r>
              <w:t>, выданного в Системе ИНТЕРГАЗСЕРТ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874D0B" w:rsidRPr="00171453" w:rsidRDefault="00874D0B" w:rsidP="007C3DE2"/>
        </w:tc>
        <w:tc>
          <w:tcPr>
            <w:tcW w:w="1233" w:type="pct"/>
            <w:shd w:val="clear" w:color="auto" w:fill="D9D9D9" w:themeFill="background1" w:themeFillShade="D9"/>
          </w:tcPr>
          <w:p w:rsidR="00874D0B" w:rsidRPr="00171453" w:rsidRDefault="00874D0B" w:rsidP="007C3DE2"/>
        </w:tc>
      </w:tr>
      <w:tr w:rsidR="00874D0B" w:rsidTr="007C3DE2">
        <w:tc>
          <w:tcPr>
            <w:tcW w:w="1303" w:type="pct"/>
            <w:shd w:val="clear" w:color="auto" w:fill="D9D9D9" w:themeFill="background1" w:themeFillShade="D9"/>
          </w:tcPr>
          <w:p w:rsidR="00874D0B" w:rsidRDefault="00874D0B" w:rsidP="007C3DE2"/>
        </w:tc>
        <w:tc>
          <w:tcPr>
            <w:tcW w:w="1232" w:type="pct"/>
            <w:shd w:val="clear" w:color="auto" w:fill="D9D9D9" w:themeFill="background1" w:themeFillShade="D9"/>
          </w:tcPr>
          <w:p w:rsidR="00874D0B" w:rsidRPr="002E115D" w:rsidRDefault="00874D0B" w:rsidP="007C3DE2"/>
        </w:tc>
        <w:tc>
          <w:tcPr>
            <w:tcW w:w="1232" w:type="pct"/>
            <w:shd w:val="clear" w:color="auto" w:fill="FFE599" w:themeFill="accent4" w:themeFillTint="66"/>
          </w:tcPr>
          <w:p w:rsidR="00874D0B" w:rsidRPr="002E115D" w:rsidRDefault="00874D0B" w:rsidP="007C3DE2">
            <w:r>
              <w:t xml:space="preserve">Наличие сертификата СМК </w:t>
            </w:r>
            <w:r w:rsidRPr="008577C4">
              <w:t>требованиям</w:t>
            </w:r>
            <w:r>
              <w:t xml:space="preserve"> </w:t>
            </w:r>
            <w:r w:rsidRPr="00CF4377">
              <w:t>ISO</w:t>
            </w:r>
            <w:r w:rsidRPr="008577C4">
              <w:t xml:space="preserve"> 9001</w:t>
            </w:r>
            <w:r>
              <w:t>, выданного в Системе ИНТЕРГАЗСЕРТ</w:t>
            </w:r>
          </w:p>
        </w:tc>
        <w:tc>
          <w:tcPr>
            <w:tcW w:w="1233" w:type="pct"/>
            <w:shd w:val="clear" w:color="auto" w:fill="D9D9D9" w:themeFill="background1" w:themeFillShade="D9"/>
          </w:tcPr>
          <w:p w:rsidR="00874D0B" w:rsidRPr="002E115D" w:rsidRDefault="00874D0B" w:rsidP="007C3DE2"/>
        </w:tc>
      </w:tr>
      <w:tr w:rsidR="00874D0B" w:rsidTr="007C3DE2">
        <w:tc>
          <w:tcPr>
            <w:tcW w:w="1303" w:type="pct"/>
            <w:shd w:val="clear" w:color="auto" w:fill="C5E0B3" w:themeFill="accent6" w:themeFillTint="66"/>
          </w:tcPr>
          <w:p w:rsidR="00874D0B" w:rsidRDefault="00874D0B" w:rsidP="007C3DE2">
            <w:r>
              <w:t>Оценка процесса выполнения работ (оказания услуг)</w:t>
            </w:r>
          </w:p>
        </w:tc>
        <w:tc>
          <w:tcPr>
            <w:tcW w:w="1232" w:type="pct"/>
            <w:shd w:val="clear" w:color="auto" w:fill="BDD6EE" w:themeFill="accent1" w:themeFillTint="66"/>
          </w:tcPr>
          <w:p w:rsidR="00874D0B" w:rsidRDefault="00874D0B" w:rsidP="007C3DE2">
            <w:r>
              <w:t>Оценка процесса выполнения работ (оказания услуг)</w:t>
            </w:r>
          </w:p>
        </w:tc>
        <w:tc>
          <w:tcPr>
            <w:tcW w:w="1232" w:type="pct"/>
            <w:shd w:val="clear" w:color="auto" w:fill="FFE599" w:themeFill="accent4" w:themeFillTint="66"/>
          </w:tcPr>
          <w:p w:rsidR="00874D0B" w:rsidRDefault="00874D0B" w:rsidP="007C3DE2">
            <w:r>
              <w:t>Оценка процесса выполнения работ (оказания услуг)</w:t>
            </w:r>
          </w:p>
        </w:tc>
        <w:tc>
          <w:tcPr>
            <w:tcW w:w="1233" w:type="pct"/>
            <w:shd w:val="clear" w:color="auto" w:fill="FF0000"/>
          </w:tcPr>
          <w:p w:rsidR="00874D0B" w:rsidRDefault="00874D0B" w:rsidP="007C3DE2">
            <w:r>
              <w:t>Оценка процесса выполнения работ (оказания услуг)</w:t>
            </w:r>
          </w:p>
        </w:tc>
      </w:tr>
      <w:tr w:rsidR="00874D0B" w:rsidTr="007C3DE2">
        <w:tc>
          <w:tcPr>
            <w:tcW w:w="1303" w:type="pct"/>
            <w:shd w:val="clear" w:color="auto" w:fill="C5E0B3" w:themeFill="accent6" w:themeFillTint="66"/>
          </w:tcPr>
          <w:p w:rsidR="00874D0B" w:rsidRDefault="00874D0B" w:rsidP="007C3DE2">
            <w:r>
              <w:t>Проверка (испытания) результатов выполнения работы (оказания услуги)</w:t>
            </w:r>
          </w:p>
        </w:tc>
        <w:tc>
          <w:tcPr>
            <w:tcW w:w="1232" w:type="pct"/>
            <w:shd w:val="clear" w:color="auto" w:fill="BDD6EE" w:themeFill="accent1" w:themeFillTint="66"/>
          </w:tcPr>
          <w:p w:rsidR="00874D0B" w:rsidRDefault="00874D0B" w:rsidP="007C3DE2">
            <w:r>
              <w:t>Проверка (испытания) результатов выполнения работы (оказания услуги)</w:t>
            </w:r>
          </w:p>
        </w:tc>
        <w:tc>
          <w:tcPr>
            <w:tcW w:w="1232" w:type="pct"/>
            <w:shd w:val="clear" w:color="auto" w:fill="FFE599" w:themeFill="accent4" w:themeFillTint="66"/>
          </w:tcPr>
          <w:p w:rsidR="00874D0B" w:rsidRDefault="00874D0B" w:rsidP="007C3DE2">
            <w:r>
              <w:t>Проверка (испытания) результатов выполнения работы (оказания услуги)</w:t>
            </w:r>
          </w:p>
        </w:tc>
        <w:tc>
          <w:tcPr>
            <w:tcW w:w="1233" w:type="pct"/>
            <w:shd w:val="clear" w:color="auto" w:fill="FF0000"/>
          </w:tcPr>
          <w:p w:rsidR="00874D0B" w:rsidRDefault="00874D0B" w:rsidP="007C3DE2">
            <w:r>
              <w:t>Проверка (испытания) результатов выполнения работы (оказания услуги)</w:t>
            </w:r>
          </w:p>
        </w:tc>
      </w:tr>
      <w:tr w:rsidR="00874D0B" w:rsidTr="007C3DE2">
        <w:tc>
          <w:tcPr>
            <w:tcW w:w="1303" w:type="pct"/>
            <w:shd w:val="clear" w:color="auto" w:fill="C5E0B3" w:themeFill="accent6" w:themeFillTint="66"/>
          </w:tcPr>
          <w:p w:rsidR="00874D0B" w:rsidRDefault="00874D0B" w:rsidP="007C3DE2">
            <w:r>
              <w:t xml:space="preserve">Инспекционный контроль </w:t>
            </w:r>
          </w:p>
        </w:tc>
        <w:tc>
          <w:tcPr>
            <w:tcW w:w="1232" w:type="pct"/>
            <w:shd w:val="clear" w:color="auto" w:fill="BDD6EE" w:themeFill="accent1" w:themeFillTint="66"/>
          </w:tcPr>
          <w:p w:rsidR="00874D0B" w:rsidRPr="002E115D" w:rsidRDefault="00874D0B" w:rsidP="007C3DE2">
            <w:r>
              <w:t>Инспекционный контроль</w:t>
            </w:r>
          </w:p>
        </w:tc>
        <w:tc>
          <w:tcPr>
            <w:tcW w:w="1232" w:type="pct"/>
            <w:shd w:val="clear" w:color="auto" w:fill="FFE599" w:themeFill="accent4" w:themeFillTint="66"/>
          </w:tcPr>
          <w:p w:rsidR="00874D0B" w:rsidRDefault="00874D0B" w:rsidP="007C3DE2">
            <w:r>
              <w:t>Инспекционный контроль</w:t>
            </w:r>
          </w:p>
        </w:tc>
        <w:tc>
          <w:tcPr>
            <w:tcW w:w="1233" w:type="pct"/>
            <w:shd w:val="clear" w:color="auto" w:fill="FF0000"/>
          </w:tcPr>
          <w:p w:rsidR="00874D0B" w:rsidRDefault="00874D0B" w:rsidP="007C3DE2">
            <w:r>
              <w:t>Инспекционный контроль</w:t>
            </w:r>
          </w:p>
        </w:tc>
      </w:tr>
      <w:tr w:rsidR="00874D0B" w:rsidTr="007C3DE2">
        <w:tc>
          <w:tcPr>
            <w:tcW w:w="1303" w:type="pct"/>
            <w:shd w:val="clear" w:color="auto" w:fill="C5E0B3" w:themeFill="accent6" w:themeFillTint="66"/>
          </w:tcPr>
          <w:p w:rsidR="00874D0B" w:rsidRDefault="00874D0B" w:rsidP="007C3DE2">
            <w:r>
              <w:t>Маркирование услуги знаком соответствия ИНТЕРГАЗСЕРТ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874D0B" w:rsidRDefault="00874D0B" w:rsidP="007C3DE2"/>
        </w:tc>
        <w:tc>
          <w:tcPr>
            <w:tcW w:w="1232" w:type="pct"/>
            <w:shd w:val="clear" w:color="auto" w:fill="D9D9D9" w:themeFill="background1" w:themeFillShade="D9"/>
          </w:tcPr>
          <w:p w:rsidR="00874D0B" w:rsidRDefault="00874D0B" w:rsidP="007C3DE2"/>
        </w:tc>
        <w:tc>
          <w:tcPr>
            <w:tcW w:w="1233" w:type="pct"/>
            <w:shd w:val="clear" w:color="auto" w:fill="D9D9D9" w:themeFill="background1" w:themeFillShade="D9"/>
          </w:tcPr>
          <w:p w:rsidR="00874D0B" w:rsidRDefault="00874D0B" w:rsidP="007C3DE2"/>
        </w:tc>
      </w:tr>
    </w:tbl>
    <w:p w:rsidR="00874D0B" w:rsidRDefault="00874D0B" w:rsidP="00D11BA5">
      <w:pPr>
        <w:rPr>
          <w:b/>
          <w:sz w:val="28"/>
          <w:szCs w:val="28"/>
          <w:lang w:eastAsia="ru-RU"/>
        </w:rPr>
        <w:sectPr w:rsidR="00874D0B" w:rsidSect="007D7C46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11BA5" w:rsidRDefault="00D11BA5" w:rsidP="00D11BA5">
      <w:pPr>
        <w:pStyle w:val="a4"/>
      </w:pPr>
      <w:r>
        <w:lastRenderedPageBreak/>
        <w:t xml:space="preserve">Подробное описание и принцип выбора </w:t>
      </w:r>
      <w:r>
        <w:t xml:space="preserve">схем </w:t>
      </w:r>
      <w:r>
        <w:t xml:space="preserve">сертификации приведены в документе Системы </w:t>
      </w:r>
      <w:r w:rsidRPr="00D11BA5">
        <w:t xml:space="preserve">№ ОГН0.RU.0101 </w:t>
      </w:r>
      <w:r>
        <w:t xml:space="preserve">Правила функционирования системы добровольной сертификации ИНТЕРГАЗСЕРТ </w:t>
      </w:r>
      <w:r w:rsidR="008A5CA3">
        <w:t xml:space="preserve">(Приложение Д)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D11BA5">
        <w:instrText>https://www.intergazcert.ru/fileadmin/f/about/documents/OGN0.RU.0101.pdf</w:instrText>
      </w:r>
      <w:r>
        <w:instrText xml:space="preserve">" </w:instrText>
      </w:r>
      <w:r>
        <w:fldChar w:fldCharType="separate"/>
      </w:r>
      <w:r w:rsidRPr="00984165">
        <w:rPr>
          <w:rStyle w:val="a5"/>
        </w:rPr>
        <w:t>https://www.intergazcert.ru/fileadmin/f/about/documents/OGN0.RU.0101.pdf</w:t>
      </w:r>
      <w:r>
        <w:fldChar w:fldCharType="end"/>
      </w:r>
    </w:p>
    <w:p w:rsidR="00D11BA5" w:rsidRDefault="00D11BA5" w:rsidP="00D11BA5">
      <w:pPr>
        <w:pStyle w:val="a4"/>
      </w:pPr>
    </w:p>
    <w:sectPr w:rsidR="00D1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57"/>
    <w:rsid w:val="00874D0B"/>
    <w:rsid w:val="008A5CA3"/>
    <w:rsid w:val="009F3D1C"/>
    <w:rsid w:val="00A724ED"/>
    <w:rsid w:val="00D11BA5"/>
    <w:rsid w:val="00D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28A7-6031-4C98-8306-7F4E2C03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0B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1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BA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11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1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Тимербулатова Гульнара Раильевна</cp:lastModifiedBy>
  <cp:revision>4</cp:revision>
  <dcterms:created xsi:type="dcterms:W3CDTF">2019-01-28T12:19:00Z</dcterms:created>
  <dcterms:modified xsi:type="dcterms:W3CDTF">2019-02-07T13:33:00Z</dcterms:modified>
</cp:coreProperties>
</file>